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E06" w:rsidRDefault="00E44E06" w:rsidP="00E44E06">
      <w:pPr>
        <w:pStyle w:val="pright"/>
        <w:shd w:val="clear" w:color="auto" w:fill="FFFFFF"/>
        <w:spacing w:before="0" w:beforeAutospacing="0" w:after="9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>Приложение</w:t>
      </w:r>
    </w:p>
    <w:p w:rsidR="00E44E06" w:rsidRDefault="00E44E06" w:rsidP="00E44E06">
      <w:pPr>
        <w:pStyle w:val="pright"/>
        <w:shd w:val="clear" w:color="auto" w:fill="FFFFFF"/>
        <w:spacing w:before="0" w:beforeAutospacing="0" w:after="9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письму Минкультуры России</w:t>
      </w:r>
    </w:p>
    <w:p w:rsidR="00E44E06" w:rsidRDefault="00E44E06" w:rsidP="00E44E06">
      <w:pPr>
        <w:pStyle w:val="pright"/>
        <w:shd w:val="clear" w:color="auto" w:fill="FFFFFF"/>
        <w:spacing w:before="0" w:beforeAutospacing="0" w:after="90" w:afterAutospacing="0" w:line="293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 19 ноября 2013 г. N 191-01-39/06-ГИ</w:t>
      </w:r>
    </w:p>
    <w:p w:rsidR="00E44E06" w:rsidRDefault="00E44E06" w:rsidP="00E44E06">
      <w:pPr>
        <w:pStyle w:val="pcenter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b/>
          <w:bCs/>
          <w:color w:val="333333"/>
          <w:sz w:val="23"/>
          <w:szCs w:val="23"/>
        </w:rPr>
      </w:pPr>
      <w:bookmarkStart w:id="0" w:name="100006"/>
      <w:bookmarkEnd w:id="0"/>
      <w:r>
        <w:rPr>
          <w:rFonts w:ascii="Arial" w:hAnsi="Arial" w:cs="Arial"/>
          <w:b/>
          <w:bCs/>
          <w:color w:val="333333"/>
          <w:sz w:val="23"/>
          <w:szCs w:val="23"/>
        </w:rPr>
        <w:t>РЕКОМЕНДАЦИИ</w:t>
      </w:r>
    </w:p>
    <w:p w:rsidR="00E44E06" w:rsidRPr="00E44E06" w:rsidRDefault="00E44E06" w:rsidP="00E44E06">
      <w:pPr>
        <w:pStyle w:val="pcenter"/>
        <w:shd w:val="clear" w:color="auto" w:fill="FFFFFF"/>
        <w:spacing w:before="0" w:beforeAutospacing="0" w:after="300" w:afterAutospacing="0" w:line="293" w:lineRule="atLeast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ПО ОРГАНИЗАЦИИ ОБРАЗОВАТЕЛЬНОЙ И МЕТОДИЧЕСКОЙ ДЕЯТЕЛЬНОСТИ</w:t>
      </w: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                       </w:t>
      </w:r>
      <w:bookmarkStart w:id="1" w:name="_GoBack"/>
      <w:bookmarkEnd w:id="1"/>
      <w:r>
        <w:rPr>
          <w:rFonts w:ascii="Arial" w:hAnsi="Arial" w:cs="Arial"/>
          <w:b/>
          <w:bCs/>
          <w:color w:val="333333"/>
          <w:sz w:val="23"/>
          <w:szCs w:val="23"/>
        </w:rPr>
        <w:t>ПРИ РЕАЛИЗАЦИИ ОБЩЕРАЗВИВАЮЩИХ ПРОГРАММ В ОБЛАСТИ ИСКУССТВ</w:t>
      </w:r>
    </w:p>
    <w:p w:rsidR="00E44E06" w:rsidRPr="00E44E06" w:rsidRDefault="00E44E06" w:rsidP="00E44E06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44E0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I. Пояснительная записка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007"/>
      <w:bookmarkStart w:id="3" w:name="100008"/>
      <w:bookmarkEnd w:id="2"/>
      <w:bookmarkEnd w:id="3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Федеральным законом от 29 декабря 2012 г. N 273-ФЗ введено новое для нормативного поля в области образования понятие "дополнительные общеобразовательные программы", которые подразделяются на предпрофессиональные и общеразвивающие (</w:t>
      </w:r>
      <w:hyperlink r:id="rId4" w:history="1">
        <w:r w:rsidRPr="00E44E06">
          <w:rPr>
            <w:rFonts w:ascii="Arial" w:eastAsia="Times New Roman" w:hAnsi="Arial" w:cs="Arial"/>
            <w:color w:val="8859A8"/>
            <w:sz w:val="23"/>
            <w:szCs w:val="23"/>
            <w:u w:val="single"/>
            <w:bdr w:val="none" w:sz="0" w:space="0" w:color="auto" w:frame="1"/>
            <w:lang w:eastAsia="ru-RU"/>
          </w:rPr>
          <w:t>пункт 1 части 4 статьи 12</w:t>
        </w:r>
      </w:hyperlink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" w:history="1">
        <w:r w:rsidRPr="00E44E06">
          <w:rPr>
            <w:rFonts w:ascii="Arial" w:eastAsia="Times New Roman" w:hAnsi="Arial" w:cs="Arial"/>
            <w:color w:val="8859A8"/>
            <w:sz w:val="23"/>
            <w:szCs w:val="23"/>
            <w:u w:val="single"/>
            <w:bdr w:val="none" w:sz="0" w:space="0" w:color="auto" w:frame="1"/>
            <w:lang w:eastAsia="ru-RU"/>
          </w:rPr>
          <w:t>пункт 1 части 2 статьи 83</w:t>
        </w:r>
      </w:hyperlink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 Настоящие Рекомендации разработаны во исполнение </w:t>
      </w:r>
      <w:hyperlink r:id="rId6" w:history="1">
        <w:r w:rsidRPr="00E44E06">
          <w:rPr>
            <w:rFonts w:ascii="Arial" w:eastAsia="Times New Roman" w:hAnsi="Arial" w:cs="Arial"/>
            <w:color w:val="8859A8"/>
            <w:sz w:val="23"/>
            <w:szCs w:val="23"/>
            <w:u w:val="single"/>
            <w:bdr w:val="none" w:sz="0" w:space="0" w:color="auto" w:frame="1"/>
            <w:lang w:eastAsia="ru-RU"/>
          </w:rPr>
          <w:t>части 21 статьи 83</w:t>
        </w:r>
      </w:hyperlink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Федерального закона "Об образовании в Российской Федерации" с целью определения особенностей организации общеразвивающих программ в области искусств, а также осуществления образовательной и методической деятельности при реализации указанных образовательных программ.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009"/>
      <w:bookmarkEnd w:id="4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Общеразвивающие программы в области искусств должны способствовать эстетическому воспитанию граждан, привлечению наибольшего количества детей к художественному образованию </w:t>
      </w:r>
      <w:hyperlink r:id="rId7" w:history="1">
        <w:r w:rsidRPr="00E44E06">
          <w:rPr>
            <w:rFonts w:ascii="Arial" w:eastAsia="Times New Roman" w:hAnsi="Arial" w:cs="Arial"/>
            <w:color w:val="8859A8"/>
            <w:sz w:val="23"/>
            <w:szCs w:val="23"/>
            <w:u w:val="single"/>
            <w:bdr w:val="none" w:sz="0" w:space="0" w:color="auto" w:frame="1"/>
            <w:lang w:eastAsia="ru-RU"/>
          </w:rPr>
          <w:t>(часть 1 статьи 83)</w:t>
        </w:r>
      </w:hyperlink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&lt;*&gt;.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010"/>
      <w:bookmarkEnd w:id="5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011"/>
      <w:bookmarkEnd w:id="6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&lt;*&gt; Аналогом общеразвивающих программ в области искусств являются разработанные Министерством культуры СССР в 80-е годы XX века для детских школ искусств учебные планы общего художественного образования детей.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012"/>
      <w:bookmarkEnd w:id="7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Общеразвивающие программы в области искусств разрабатываются и утверждаются образовательной организацией самостоятельно </w:t>
      </w:r>
      <w:hyperlink r:id="rId8" w:history="1">
        <w:r w:rsidRPr="00E44E06">
          <w:rPr>
            <w:rFonts w:ascii="Arial" w:eastAsia="Times New Roman" w:hAnsi="Arial" w:cs="Arial"/>
            <w:color w:val="8859A8"/>
            <w:sz w:val="23"/>
            <w:szCs w:val="23"/>
            <w:u w:val="single"/>
            <w:bdr w:val="none" w:sz="0" w:space="0" w:color="auto" w:frame="1"/>
            <w:lang w:eastAsia="ru-RU"/>
          </w:rPr>
          <w:t>(часть 5 статьи 12)</w:t>
        </w:r>
      </w:hyperlink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 учетом настоящих Рекомендаций </w:t>
      </w:r>
      <w:hyperlink r:id="rId9" w:history="1">
        <w:r w:rsidRPr="00E44E06">
          <w:rPr>
            <w:rFonts w:ascii="Arial" w:eastAsia="Times New Roman" w:hAnsi="Arial" w:cs="Arial"/>
            <w:color w:val="8859A8"/>
            <w:sz w:val="23"/>
            <w:szCs w:val="23"/>
            <w:u w:val="single"/>
            <w:bdr w:val="none" w:sz="0" w:space="0" w:color="auto" w:frame="1"/>
            <w:lang w:eastAsia="ru-RU"/>
          </w:rPr>
          <w:t>(часть 21 статьи 83)</w:t>
        </w:r>
      </w:hyperlink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 кадрового потенциала и материально-технических условий образовательной организации, региональных особенностей.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13"/>
      <w:bookmarkEnd w:id="8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Общеразвивающие программы в области искусств должны основываться на принципе вариативности для различных возрастных категорий детей и молодежи, обеспечивать развитие творческих способностей подрастающего поколения, формирование устойчивого интереса к творческой деятельности. В образовательных организациях общеразвивающие программы могут стать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014"/>
      <w:bookmarkEnd w:id="9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разработке и реализации общеразвивающих программ в области искусств необходимо учитывать занятость детей в общеобразовательных организациях, т.е. параллельное освоение детьми основных общеобразовательных программ.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015"/>
      <w:bookmarkEnd w:id="10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общеразвивающих программ не должен превышать 3-х или 4-х лет (2 года 10 месяцев и, соответственно, 3 года 10 месяцев) для детей в возрасте от 6 до 17 лет включительно.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016"/>
      <w:bookmarkEnd w:id="11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окончании освоения общеразвивающих программ в области искусств выпускникам выдается документ, форма которого разрабатывается образовательной организацией самостоятельно.</w:t>
      </w:r>
    </w:p>
    <w:p w:rsidR="00E44E06" w:rsidRPr="00E44E06" w:rsidRDefault="00E44E06" w:rsidP="00E44E06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E44E0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lastRenderedPageBreak/>
        <w:t xml:space="preserve"> Общие положения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018"/>
      <w:bookmarkStart w:id="13" w:name="100019"/>
      <w:bookmarkEnd w:id="12"/>
      <w:bookmarkEnd w:id="13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Минимум содержания общеразвивающей программы в области искусств должен обеспечивать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20"/>
      <w:bookmarkEnd w:id="14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Общеразвивающие программы в области искусств реализуются посредством: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21"/>
      <w:bookmarkEnd w:id="15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022"/>
      <w:bookmarkEnd w:id="16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вариативности образования, направленного на индивидуальную траекторию развития личности;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0023"/>
      <w:bookmarkEnd w:id="17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0024"/>
      <w:bookmarkEnd w:id="18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реализации общеразвивающих программ в области искусств образовательная организация устанавливает самостоятельно: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" w:name="100025"/>
      <w:bookmarkEnd w:id="19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планируемые результаты освоения образовательной программы;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0026"/>
      <w:bookmarkEnd w:id="20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график образовательного процесса и промежуточной аттестации;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100027"/>
      <w:bookmarkEnd w:id="21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содержание и форму итоговой аттестации;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2" w:name="100028"/>
      <w:bookmarkEnd w:id="22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систему и критерии оценок.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3" w:name="100029"/>
      <w:bookmarkEnd w:id="23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Положение о текущем контроле знаний, промежуточной, итоговой аттестации обучающихся является локальным нормативным актом образовательной организации, который принимается органом самоуправления образовательной организации (советом образовательной организации, методическим советом и др.) и утверждается руководителем.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4" w:name="100030"/>
      <w:bookmarkEnd w:id="24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процессе промежуточной аттестации обучающихся в учебном году рекомендуется устанавливать не более четырех зачетов. Проведение промежуточной аттестации в форме экзаменов при реализации дополнительных общеразвивающих программ в области искусств не рекомендуется.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5" w:name="100031"/>
      <w:bookmarkEnd w:id="25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качестве средств текущего контроля успеваемости, промежуточной и итоговой аттестации образовательные организации могут использовать зачеты, контрольные работы, устные опросы, письменные работы, тестирование, технические зачеты, контрольные просмотры, концертные выступления, театральные представления, выставки. Текущий контроль успеваемости обучающихся и промежуточная аттестация проводятся в счет аудиторного времени, предусмотренного на учебный предмет.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6" w:name="100032"/>
      <w:bookmarkEnd w:id="26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Образовательной организацией должны быть разработаны критерии оценок промежуточной аттестации, текущего контроля успеваемости обучающихся, итоговой аттестации. С этой целью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7" w:name="100033"/>
      <w:bookmarkEnd w:id="27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Фонды оценочных средств должны соответствовать целям и задачам общеразвивающей программы в области искусств и ее учебному плану.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8" w:name="100034"/>
      <w:bookmarkEnd w:id="28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Реализация общеразвивающих программ в области искусств должна способствовать: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9" w:name="100035"/>
      <w:bookmarkEnd w:id="29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0" w:name="100036"/>
      <w:bookmarkEnd w:id="30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воспитанию активного слушателя, зрителя, участника творческой самодеятельности.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1" w:name="100037"/>
      <w:bookmarkEnd w:id="31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этой целью содержание общеразвивающих программ в области искусств должно основываться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2" w:name="100038"/>
      <w:bookmarkEnd w:id="32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Рабочие учебные планы образовательных организаций рекомендуется группировать по следующим предметным областям: учебные предметы исполнительской и (или) художественно-творческой подготовки, учебные предметы историко-теоретической подготовки, а также предметы по выбору, формируемые с участием родителей (законных представителей) обучающихся.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3" w:name="100039"/>
      <w:bookmarkEnd w:id="33"/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Содержание учебных предметов должно быть направлено на формирование у обучающихся общих историко-теоретических знаний об искусстве и технологиях, приобретение детьми начальных, базовых художественно-творческих умений и навыков в том или ином виде (видах) искусств.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5"/>
      </w:tblGrid>
      <w:tr w:rsidR="00E44E06" w:rsidRPr="00E44E06" w:rsidTr="00E44E06"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600" w:type="dxa"/>
              <w:right w:w="330" w:type="dxa"/>
            </w:tcMar>
            <w:hideMark/>
          </w:tcPr>
          <w:p w:rsidR="00E44E06" w:rsidRPr="00E44E06" w:rsidRDefault="00E44E06" w:rsidP="00E44E06">
            <w:pPr>
              <w:spacing w:after="0" w:line="351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7"/>
                <w:szCs w:val="27"/>
                <w:lang w:eastAsia="ru-RU"/>
              </w:rPr>
            </w:pPr>
            <w:r w:rsidRPr="00E44E06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7"/>
                <w:szCs w:val="27"/>
                <w:lang w:eastAsia="ru-RU"/>
              </w:rPr>
              <w:t>Примерный учебный план для дополнительной общеразвивающей программы в области музыкального искусства</w:t>
            </w:r>
          </w:p>
          <w:p w:rsidR="00E44E06" w:rsidRPr="00E44E06" w:rsidRDefault="00E44E06" w:rsidP="00E44E06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34" w:name="100124"/>
            <w:bookmarkEnd w:id="34"/>
            <w:r w:rsidRPr="00E44E06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Примерный учебный план для дополнительной общеразвивающей</w:t>
            </w:r>
          </w:p>
          <w:p w:rsidR="00E44E06" w:rsidRPr="00E44E06" w:rsidRDefault="00E44E06" w:rsidP="00E44E06">
            <w:pPr>
              <w:spacing w:after="30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E44E06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программы в области музыкального искусства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2510"/>
              <w:gridCol w:w="617"/>
              <w:gridCol w:w="617"/>
              <w:gridCol w:w="760"/>
              <w:gridCol w:w="2368"/>
            </w:tblGrid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35" w:name="100125"/>
                  <w:bookmarkEnd w:id="35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N п/п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36" w:name="100126"/>
                  <w:bookmarkEnd w:id="36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Наименование предметной области/учебного предмета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37" w:name="100127"/>
                  <w:bookmarkEnd w:id="37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Годы обучения (классы), количество аудиторных часов в неделю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38" w:name="100128"/>
                  <w:bookmarkEnd w:id="38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Промежуточная и итоговая аттестация (годы обучения, классы)</w:t>
                  </w: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39" w:name="100129"/>
                  <w:bookmarkEnd w:id="39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0" w:name="100130"/>
                  <w:bookmarkEnd w:id="40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1" w:name="100131"/>
                  <w:bookmarkEnd w:id="41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III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2" w:name="100132"/>
                  <w:bookmarkEnd w:id="42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3" w:name="100133"/>
                  <w:bookmarkEnd w:id="43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Учебные предметы исполнительской подготовки: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4" w:name="100134"/>
                  <w:bookmarkEnd w:id="44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5" w:name="100135"/>
                  <w:bookmarkEnd w:id="45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6" w:name="100136"/>
                  <w:bookmarkEnd w:id="46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7" w:name="100137"/>
                  <w:bookmarkEnd w:id="47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1.1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8" w:name="100138"/>
                  <w:bookmarkEnd w:id="48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основы музыкального исполнительства (синтезатор)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49" w:name="100139"/>
                  <w:bookmarkEnd w:id="49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0" w:name="100140"/>
                  <w:bookmarkEnd w:id="50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1" w:name="100141"/>
                  <w:bookmarkEnd w:id="51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2" w:name="100142"/>
                  <w:bookmarkEnd w:id="52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I, II, III</w:t>
                  </w: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3" w:name="100143"/>
                  <w:bookmarkEnd w:id="53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1.2.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4" w:name="100144"/>
                  <w:bookmarkEnd w:id="54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ансамбль синтезаторов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5" w:name="100145"/>
                  <w:bookmarkEnd w:id="55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6" w:name="100146"/>
                  <w:bookmarkEnd w:id="56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7" w:name="100147"/>
                  <w:bookmarkEnd w:id="57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8" w:name="100148"/>
                  <w:bookmarkEnd w:id="58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III</w:t>
                  </w: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59" w:name="100149"/>
                  <w:bookmarkEnd w:id="59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0" w:name="100150"/>
                  <w:bookmarkEnd w:id="60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Учебный предмет историко-теоретической подготовки: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1" w:name="100151"/>
                  <w:bookmarkEnd w:id="61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2" w:name="100152"/>
                  <w:bookmarkEnd w:id="62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3" w:name="100153"/>
                  <w:bookmarkEnd w:id="63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4" w:name="100154"/>
                  <w:bookmarkEnd w:id="64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lastRenderedPageBreak/>
                    <w:t>2.1.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5" w:name="100155"/>
                  <w:bookmarkEnd w:id="65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музыка и окружающий мир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6" w:name="100156"/>
                  <w:bookmarkEnd w:id="66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7" w:name="100157"/>
                  <w:bookmarkEnd w:id="67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8" w:name="100158"/>
                  <w:bookmarkEnd w:id="68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69" w:name="100159"/>
                  <w:bookmarkEnd w:id="69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III</w:t>
                  </w: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0" w:name="100160"/>
                  <w:bookmarkEnd w:id="70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2.2.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1" w:name="100161"/>
                  <w:bookmarkEnd w:id="71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занимательное сольфеджио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2" w:name="100162"/>
                  <w:bookmarkEnd w:id="72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3" w:name="100163"/>
                  <w:bookmarkEnd w:id="73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4" w:name="100164"/>
                  <w:bookmarkEnd w:id="74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5" w:name="100165"/>
                  <w:bookmarkEnd w:id="75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Учебный предмет по выбору: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6" w:name="100166"/>
                  <w:bookmarkEnd w:id="76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7" w:name="100167"/>
                  <w:bookmarkEnd w:id="77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8" w:name="100168"/>
                  <w:bookmarkEnd w:id="78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79" w:name="100169"/>
                  <w:bookmarkEnd w:id="79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3.1.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0" w:name="100170"/>
                  <w:bookmarkEnd w:id="80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студия компьютерной музыки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1" w:name="100171"/>
                  <w:bookmarkEnd w:id="81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2" w:name="100172"/>
                  <w:bookmarkEnd w:id="82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3" w:name="100173"/>
                  <w:bookmarkEnd w:id="83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4" w:name="100174"/>
                  <w:bookmarkEnd w:id="84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III</w:t>
                  </w:r>
                </w:p>
              </w:tc>
            </w:tr>
            <w:tr w:rsidR="00E44E06" w:rsidRPr="00E44E06" w:rsidTr="00E44E0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5" w:name="100175"/>
                  <w:bookmarkEnd w:id="85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6" w:name="100176"/>
                  <w:bookmarkEnd w:id="86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7" w:name="100177"/>
                  <w:bookmarkEnd w:id="87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93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  <w:bookmarkStart w:id="88" w:name="100178"/>
                  <w:bookmarkEnd w:id="88"/>
                  <w:r w:rsidRPr="00E44E0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44E06" w:rsidRPr="00E44E06" w:rsidRDefault="00E44E06" w:rsidP="00E44E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3"/>
                      <w:szCs w:val="23"/>
                      <w:lang w:eastAsia="ru-RU"/>
                    </w:rPr>
                  </w:pPr>
                </w:p>
              </w:tc>
            </w:tr>
          </w:tbl>
          <w:p w:rsidR="00E44E06" w:rsidRPr="00E44E06" w:rsidRDefault="00E44E06" w:rsidP="00E44E06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bookmarkStart w:id="89" w:name="100179"/>
            <w:bookmarkEnd w:id="89"/>
            <w:r w:rsidRPr="00E44E0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 xml:space="preserve">Примерный перечень учебных предметов: основы музыкального исполнительства (фортепиано, гитара, баян, аккордеон, домра, балалайка, флейта, блок-флейта, бас-гитара, саксофон, ударные инструменты, электронные инструменты, национальные инструменты, др.), инструментальный ансамбль, вокальный ансамбль, фольклорный ансамбль, </w:t>
            </w:r>
            <w:proofErr w:type="spellStart"/>
            <w:r w:rsidRPr="00E44E0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музицирование</w:t>
            </w:r>
            <w:proofErr w:type="spellEnd"/>
            <w:r w:rsidRPr="00E44E06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, хоровое пение, оркестр, сольное пение, основы музыкальной грамоты, музыкальный букварь, музыка и окружающий мир, слушание музыки, беседы о музыке, занимательное сольфеджио, народное музыкальное творчество, ритмика, музыкальная информатика, студия компьютерной музыки, музыкальный театр, эвритмия, музыкальная энциклопедия и другие.</w:t>
            </w:r>
          </w:p>
          <w:p w:rsidR="00E44E06" w:rsidRPr="00E44E06" w:rsidRDefault="00E44E06" w:rsidP="00E44E06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  <w:p w:rsidR="00E44E06" w:rsidRPr="00E44E06" w:rsidRDefault="00E44E06" w:rsidP="00E44E06">
            <w:pPr>
              <w:spacing w:after="0" w:line="293" w:lineRule="atLeast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E44E06" w:rsidRPr="00E44E06" w:rsidRDefault="00E44E06" w:rsidP="00E44E06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E44E06">
        <w:rPr>
          <w:rFonts w:ascii="Arial" w:eastAsia="Times New Roman" w:hAnsi="Arial" w:cs="Arial"/>
          <w:color w:val="000000"/>
          <w:sz w:val="2"/>
          <w:szCs w:val="2"/>
          <w:lang w:eastAsia="ru-RU"/>
        </w:rPr>
        <w:lastRenderedPageBreak/>
        <w:t> </w:t>
      </w:r>
    </w:p>
    <w:p w:rsidR="00E44E06" w:rsidRPr="00E44E06" w:rsidRDefault="00E44E06" w:rsidP="00E44E06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44E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 w:type="textWrapping" w:clear="all"/>
      </w:r>
    </w:p>
    <w:p w:rsidR="00E44E06" w:rsidRPr="00E44E06" w:rsidRDefault="00E44E06" w:rsidP="00E44E06">
      <w:pPr>
        <w:spacing w:after="0" w:line="0" w:lineRule="auto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E44E06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8F01EA" w:rsidRDefault="008F01EA"/>
    <w:sectPr w:rsidR="008F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06"/>
    <w:rsid w:val="008F01EA"/>
    <w:rsid w:val="00E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1D44"/>
  <w15:chartTrackingRefBased/>
  <w15:docId w15:val="{B0034787-8499-41DC-9ECF-611A54B7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06"/>
    <w:pPr>
      <w:ind w:left="720"/>
      <w:contextualSpacing/>
    </w:pPr>
  </w:style>
  <w:style w:type="paragraph" w:customStyle="1" w:styleId="pright">
    <w:name w:val="pright"/>
    <w:basedOn w:val="a"/>
    <w:rsid w:val="00E4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4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5759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18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14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18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9122012-n-273-fz-ob/glava-2/statia-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federalnyi-zakon-ot-29122012-n-273-fz-ob/glava-11/statia-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2-n-273-fz-ob/glava-11/statia-8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dact.ru/law/federalnyi-zakon-ot-29122012-n-273-fz-ob/glava-11/statia-83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udact.ru/law/federalnyi-zakon-ot-29122012-n-273-fz-ob/glava-2/statia-12/" TargetMode="External"/><Relationship Id="rId9" Type="http://schemas.openxmlformats.org/officeDocument/2006/relationships/hyperlink" Target="https://sudact.ru/law/federalnyi-zakon-ot-29122012-n-273-fz-ob/glava-11/statia-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 Таиров</dc:creator>
  <cp:keywords/>
  <dc:description/>
  <cp:lastModifiedBy>Реваз Таиров</cp:lastModifiedBy>
  <cp:revision>1</cp:revision>
  <dcterms:created xsi:type="dcterms:W3CDTF">2020-01-26T17:01:00Z</dcterms:created>
  <dcterms:modified xsi:type="dcterms:W3CDTF">2020-01-26T17:10:00Z</dcterms:modified>
</cp:coreProperties>
</file>